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614BE" w14:textId="77777777" w:rsidR="00AB6DE3" w:rsidRDefault="00AB6DE3">
      <w:pPr>
        <w:pStyle w:val="Title"/>
      </w:pPr>
    </w:p>
    <w:p w14:paraId="12D6A0FB" w14:textId="77777777" w:rsidR="00AB6DE3" w:rsidRDefault="00294A52">
      <w:pPr>
        <w:rPr>
          <w:smallCaps/>
        </w:rPr>
      </w:pPr>
      <w:r>
        <w:rPr>
          <w:smallCaps/>
          <w:noProof/>
          <w:sz w:val="20"/>
          <w:szCs w:val="20"/>
        </w:rPr>
        <mc:AlternateContent>
          <mc:Choice Requires="wps">
            <w:drawing>
              <wp:anchor distT="0" distB="0" distL="0" distR="0" simplePos="0" relativeHeight="251659264" behindDoc="0" locked="0" layoutInCell="1" allowOverlap="1" wp14:anchorId="23E36C78" wp14:editId="66C4F914">
                <wp:simplePos x="0" y="0"/>
                <wp:positionH relativeFrom="column">
                  <wp:posOffset>28575</wp:posOffset>
                </wp:positionH>
                <wp:positionV relativeFrom="line">
                  <wp:posOffset>12064</wp:posOffset>
                </wp:positionV>
                <wp:extent cx="56007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57150" cap="flat">
                          <a:solidFill>
                            <a:srgbClr val="000000"/>
                          </a:solidFill>
                          <a:prstDash val="solid"/>
                          <a:round/>
                        </a:ln>
                        <a:effectLst/>
                      </wps:spPr>
                      <wps:bodyPr/>
                    </wps:wsp>
                  </a:graphicData>
                </a:graphic>
              </wp:anchor>
            </w:drawing>
          </mc:Choice>
          <mc:Fallback xmlns:w15="http://schemas.microsoft.com/office/word/2012/wordml">
            <w:pict>
              <v:line id="_x0000_s1026" style="visibility:visible;position:absolute;margin-left:2.3pt;margin-top:0.9pt;width:441.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text"/>
              </v:line>
            </w:pict>
          </mc:Fallback>
        </mc:AlternateContent>
      </w:r>
    </w:p>
    <w:p w14:paraId="4EEA7C7F" w14:textId="77777777" w:rsidR="00AB6DE3" w:rsidRDefault="00AB6DE3">
      <w:pPr>
        <w:rPr>
          <w:smallCaps/>
        </w:rPr>
      </w:pPr>
    </w:p>
    <w:p w14:paraId="14B700A3" w14:textId="77777777" w:rsidR="00AB6DE3" w:rsidRDefault="00294A52">
      <w:pPr>
        <w:pStyle w:val="Heading1"/>
      </w:pPr>
      <w:r>
        <w:t>Background</w:t>
      </w:r>
    </w:p>
    <w:p w14:paraId="4BA0214A" w14:textId="77777777" w:rsidR="00AB6DE3" w:rsidRDefault="00AB6DE3"/>
    <w:p w14:paraId="5929F6F0" w14:textId="77777777" w:rsidR="00AB6DE3" w:rsidRDefault="00294A52">
      <w:pPr>
        <w:pBdr>
          <w:top w:val="single" w:sz="4" w:space="0" w:color="000000"/>
          <w:left w:val="single" w:sz="4" w:space="0" w:color="000000"/>
          <w:bottom w:val="single" w:sz="4" w:space="0" w:color="000000"/>
          <w:right w:val="single" w:sz="4" w:space="0" w:color="000000"/>
        </w:pBdr>
      </w:pPr>
      <w:r>
        <w:t>The mandate of the Community Development Committee (CDC) is to respond to the needs of the Japanese Canadian community.  More specifically, the CDC provides direction to the National Executive Board (NEB) regarding needs evidenced</w:t>
      </w:r>
      <w:bookmarkStart w:id="0" w:name="_GoBack"/>
      <w:bookmarkEnd w:id="0"/>
      <w:r>
        <w:t xml:space="preserve"> by groups such as seniors, youth, and Ijusha.  The CDC is also responsible for providing the NEB with a link to the Cultural Centers and arts groups.</w:t>
      </w:r>
    </w:p>
    <w:p w14:paraId="39F333F9" w14:textId="77777777" w:rsidR="00AB6DE3" w:rsidRDefault="00AB6DE3">
      <w:pPr>
        <w:pBdr>
          <w:top w:val="single" w:sz="4" w:space="0" w:color="000000"/>
          <w:left w:val="single" w:sz="4" w:space="0" w:color="000000"/>
          <w:bottom w:val="single" w:sz="4" w:space="0" w:color="000000"/>
          <w:right w:val="single" w:sz="4" w:space="0" w:color="000000"/>
        </w:pBdr>
      </w:pPr>
    </w:p>
    <w:p w14:paraId="421DA8AE" w14:textId="7D66E9BC" w:rsidR="00AB6DE3" w:rsidRDefault="005E62BD">
      <w:pPr>
        <w:pBdr>
          <w:top w:val="single" w:sz="4" w:space="0" w:color="000000"/>
          <w:left w:val="single" w:sz="4" w:space="0" w:color="000000"/>
          <w:bottom w:val="single" w:sz="4" w:space="0" w:color="000000"/>
          <w:right w:val="single" w:sz="4" w:space="0" w:color="000000"/>
        </w:pBdr>
      </w:pPr>
      <w:r>
        <w:t>The NAJC’s National Development Fund provides funding for CDC programming</w:t>
      </w:r>
      <w:r w:rsidR="00294A52">
        <w:t>.  At the 2014 Annual General Meeting, the membership approved a CDC budget for programming in the 2015-2016 fiscal year ending 31 March 2016.</w:t>
      </w:r>
    </w:p>
    <w:p w14:paraId="06DCF128" w14:textId="77777777" w:rsidR="00AB6DE3" w:rsidRDefault="00AB6DE3">
      <w:pPr>
        <w:pBdr>
          <w:top w:val="single" w:sz="4" w:space="0" w:color="000000"/>
          <w:left w:val="single" w:sz="4" w:space="0" w:color="000000"/>
          <w:bottom w:val="single" w:sz="4" w:space="0" w:color="000000"/>
          <w:right w:val="single" w:sz="4" w:space="0" w:color="000000"/>
        </w:pBdr>
      </w:pPr>
    </w:p>
    <w:p w14:paraId="651C4C1E" w14:textId="7B58AEBF" w:rsidR="00AB6DE3" w:rsidRDefault="00294A52">
      <w:pPr>
        <w:pBdr>
          <w:top w:val="single" w:sz="4" w:space="0" w:color="000000"/>
          <w:left w:val="single" w:sz="4" w:space="0" w:color="000000"/>
          <w:bottom w:val="single" w:sz="4" w:space="0" w:color="000000"/>
          <w:right w:val="single" w:sz="4" w:space="0" w:color="000000"/>
        </w:pBdr>
      </w:pPr>
      <w:r>
        <w:t>Working towards its purpose of responding to community needs, the CDC has provided another opportunity to obtain funding towards one project to be initiated during the 2015-16 fiscal year.  This year there are no requirements that need to be meet, other than it should address a need in your community.  Please keep i</w:t>
      </w:r>
      <w:r>
        <w:rPr>
          <w:noProof/>
        </w:rPr>
        <mc:AlternateContent>
          <mc:Choice Requires="wps">
            <w:drawing>
              <wp:anchor distT="0" distB="0" distL="0" distR="0" simplePos="0" relativeHeight="251660288" behindDoc="0" locked="0" layoutInCell="1" allowOverlap="1" wp14:anchorId="2D946B07" wp14:editId="31DAC190">
                <wp:simplePos x="0" y="0"/>
                <wp:positionH relativeFrom="page">
                  <wp:posOffset>1003300</wp:posOffset>
                </wp:positionH>
                <wp:positionV relativeFrom="page">
                  <wp:posOffset>640080</wp:posOffset>
                </wp:positionV>
                <wp:extent cx="5760720" cy="765810"/>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5760720" cy="765810"/>
                        </a:xfrm>
                        <a:prstGeom prst="rect">
                          <a:avLst/>
                        </a:prstGeom>
                      </wps:spPr>
                      <wps:txbx>
                        <w:txbxContent>
                          <w:tbl>
                            <w:tblPr>
                              <w:tblW w:w="9072"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72"/>
                            </w:tblGrid>
                            <w:tr w:rsidR="00AB6DE3" w14:paraId="4DAE7DDD" w14:textId="77777777">
                              <w:trPr>
                                <w:trHeight w:val="930"/>
                              </w:trPr>
                              <w:tc>
                                <w:tcPr>
                                  <w:tcW w:w="9072" w:type="dxa"/>
                                  <w:tcBorders>
                                    <w:top w:val="nil"/>
                                    <w:left w:val="nil"/>
                                    <w:bottom w:val="nil"/>
                                    <w:right w:val="nil"/>
                                  </w:tcBorders>
                                  <w:shd w:val="clear" w:color="auto" w:fill="auto"/>
                                  <w:tcMar>
                                    <w:top w:w="80" w:type="dxa"/>
                                    <w:left w:w="80" w:type="dxa"/>
                                    <w:bottom w:w="80" w:type="dxa"/>
                                    <w:right w:w="80" w:type="dxa"/>
                                  </w:tcMar>
                                </w:tcPr>
                                <w:p w14:paraId="1D19479F" w14:textId="77777777" w:rsidR="00AB6DE3" w:rsidRDefault="00294A52">
                                  <w:pPr>
                                    <w:pStyle w:val="TableStyle2"/>
                                    <w:jc w:val="center"/>
                                    <w:rPr>
                                      <w:b/>
                                      <w:bCs/>
                                    </w:rPr>
                                  </w:pPr>
                                  <w:r>
                                    <w:rPr>
                                      <w:rFonts w:ascii="Times New Roman"/>
                                      <w:b/>
                                      <w:bCs/>
                                      <w:sz w:val="28"/>
                                      <w:szCs w:val="28"/>
                                    </w:rPr>
                                    <w:t>NAJC Community Development Committee</w:t>
                                  </w:r>
                                </w:p>
                                <w:p w14:paraId="6DDD5648" w14:textId="77777777" w:rsidR="00AB6DE3" w:rsidRDefault="00294A52">
                                  <w:pPr>
                                    <w:pStyle w:val="TableStyle2"/>
                                    <w:jc w:val="center"/>
                                    <w:rPr>
                                      <w:b/>
                                      <w:bCs/>
                                    </w:rPr>
                                  </w:pPr>
                                  <w:r>
                                    <w:rPr>
                                      <w:rFonts w:ascii="Times New Roman"/>
                                      <w:b/>
                                      <w:bCs/>
                                      <w:sz w:val="28"/>
                                      <w:szCs w:val="28"/>
                                    </w:rPr>
                                    <w:t>Community Development Fund Program</w:t>
                                  </w:r>
                                </w:p>
                                <w:p w14:paraId="5F43F8D9" w14:textId="324677F9" w:rsidR="00AB6DE3" w:rsidRDefault="00294A52">
                                  <w:pPr>
                                    <w:pStyle w:val="TableStyle2"/>
                                    <w:jc w:val="center"/>
                                  </w:pPr>
                                  <w:r>
                                    <w:rPr>
                                      <w:rFonts w:ascii="Times New Roman"/>
                                      <w:b/>
                                      <w:bCs/>
                                      <w:sz w:val="24"/>
                                      <w:szCs w:val="24"/>
                                    </w:rPr>
                                    <w:t xml:space="preserve"> </w:t>
                                  </w:r>
                                  <w:r w:rsidR="005E62BD">
                                    <w:rPr>
                                      <w:rFonts w:ascii="Times New Roman"/>
                                      <w:b/>
                                      <w:bCs/>
                                      <w:sz w:val="24"/>
                                      <w:szCs w:val="24"/>
                                    </w:rPr>
                                    <w:t xml:space="preserve">Information </w:t>
                                  </w:r>
                                  <w:r>
                                    <w:rPr>
                                      <w:rFonts w:ascii="Times New Roman"/>
                                      <w:b/>
                                      <w:bCs/>
                                      <w:sz w:val="24"/>
                                      <w:szCs w:val="24"/>
                                    </w:rPr>
                                    <w:t xml:space="preserve">for </w:t>
                                  </w:r>
                                  <w:r>
                                    <w:rPr>
                                      <w:rFonts w:ascii="Times New Roman"/>
                                      <w:b/>
                                      <w:bCs/>
                                      <w:sz w:val="24"/>
                                      <w:szCs w:val="24"/>
                                      <w:lang w:val="fr-FR"/>
                                    </w:rPr>
                                    <w:t>Applicants</w:t>
                                  </w:r>
                                </w:p>
                              </w:tc>
                            </w:tr>
                          </w:tbl>
                          <w:p w14:paraId="3A1F69BE" w14:textId="77777777" w:rsidR="00BE3CE0" w:rsidRDefault="00BE3CE0"/>
                        </w:txbxContent>
                      </wps:txbx>
                      <wps:bodyPr lIns="0" tIns="0" rIns="0" bIns="0">
                        <a:spAutoFit/>
                      </wps:bodyPr>
                    </wps:wsp>
                  </a:graphicData>
                </a:graphic>
              </wp:anchor>
            </w:drawing>
          </mc:Choice>
          <mc:Fallback>
            <w:pict>
              <v:rect id="officeArt object" o:spid="_x0000_s1026" style="position:absolute;margin-left:79pt;margin-top:50.4pt;width:453.6pt;height:60.3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" filled="f" stroked="f">
                <v:textbox style="mso-fit-shape-to-text:t" inset="0,0,0,0">
                  <w:txbxContent>
                    <w:tbl>
                      <w:tblPr>
                        <w:tblW w:w="9072"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72"/>
                      </w:tblGrid>
                      <w:tr w:rsidR="00AB6DE3" w14:paraId="4DAE7DDD" w14:textId="77777777">
                        <w:trPr>
                          <w:trHeight w:val="930"/>
                        </w:trPr>
                        <w:tc>
                          <w:tcPr>
                            <w:tcW w:w="9072" w:type="dxa"/>
                            <w:tcBorders>
                              <w:top w:val="nil"/>
                              <w:left w:val="nil"/>
                              <w:bottom w:val="nil"/>
                              <w:right w:val="nil"/>
                            </w:tcBorders>
                            <w:shd w:val="clear" w:color="auto" w:fill="auto"/>
                            <w:tcMar>
                              <w:top w:w="80" w:type="dxa"/>
                              <w:left w:w="80" w:type="dxa"/>
                              <w:bottom w:w="80" w:type="dxa"/>
                              <w:right w:w="80" w:type="dxa"/>
                            </w:tcMar>
                          </w:tcPr>
                          <w:p w14:paraId="1D19479F" w14:textId="77777777" w:rsidR="00AB6DE3" w:rsidRDefault="00294A52">
                            <w:pPr>
                              <w:pStyle w:val="TableStyle2"/>
                              <w:jc w:val="center"/>
                              <w:rPr>
                                <w:b/>
                                <w:bCs/>
                              </w:rPr>
                            </w:pPr>
                            <w:r>
                              <w:rPr>
                                <w:rFonts w:ascii="Times New Roman"/>
                                <w:b/>
                                <w:bCs/>
                                <w:sz w:val="28"/>
                                <w:szCs w:val="28"/>
                              </w:rPr>
                              <w:t>NAJC Community Development Committee</w:t>
                            </w:r>
                          </w:p>
                          <w:p w14:paraId="6DDD5648" w14:textId="77777777" w:rsidR="00AB6DE3" w:rsidRDefault="00294A52">
                            <w:pPr>
                              <w:pStyle w:val="TableStyle2"/>
                              <w:jc w:val="center"/>
                              <w:rPr>
                                <w:b/>
                                <w:bCs/>
                              </w:rPr>
                            </w:pPr>
                            <w:r>
                              <w:rPr>
                                <w:rFonts w:ascii="Times New Roman"/>
                                <w:b/>
                                <w:bCs/>
                                <w:sz w:val="28"/>
                                <w:szCs w:val="28"/>
                              </w:rPr>
                              <w:t>Community Development Fund Program</w:t>
                            </w:r>
                          </w:p>
                          <w:p w14:paraId="5F43F8D9" w14:textId="324677F9" w:rsidR="00AB6DE3" w:rsidRDefault="00294A52">
                            <w:pPr>
                              <w:pStyle w:val="TableStyle2"/>
                              <w:jc w:val="center"/>
                            </w:pPr>
                            <w:r>
                              <w:rPr>
                                <w:rFonts w:ascii="Times New Roman"/>
                                <w:b/>
                                <w:bCs/>
                                <w:sz w:val="24"/>
                                <w:szCs w:val="24"/>
                              </w:rPr>
                              <w:t xml:space="preserve"> </w:t>
                            </w:r>
                            <w:r w:rsidR="005E62BD">
                              <w:rPr>
                                <w:rFonts w:ascii="Times New Roman"/>
                                <w:b/>
                                <w:bCs/>
                                <w:sz w:val="24"/>
                                <w:szCs w:val="24"/>
                              </w:rPr>
                              <w:t xml:space="preserve">Information </w:t>
                            </w:r>
                            <w:r>
                              <w:rPr>
                                <w:rFonts w:ascii="Times New Roman"/>
                                <w:b/>
                                <w:bCs/>
                                <w:sz w:val="24"/>
                                <w:szCs w:val="24"/>
                              </w:rPr>
                              <w:t xml:space="preserve">for </w:t>
                            </w:r>
                            <w:r>
                              <w:rPr>
                                <w:rFonts w:ascii="Times New Roman"/>
                                <w:b/>
                                <w:bCs/>
                                <w:sz w:val="24"/>
                                <w:szCs w:val="24"/>
                                <w:lang w:val="fr-FR"/>
                              </w:rPr>
                              <w:t>Applicants</w:t>
                            </w:r>
                          </w:p>
                        </w:tc>
                      </w:tr>
                    </w:tbl>
                    <w:p w14:paraId="3A1F69BE" w14:textId="77777777" w:rsidR="00BE3CE0" w:rsidRDefault="00BE3CE0"/>
                  </w:txbxContent>
                </v:textbox>
                <w10:wrap type="topAndBottom" anchorx="page" anchory="page"/>
              </v:rect>
            </w:pict>
          </mc:Fallback>
        </mc:AlternateContent>
      </w:r>
      <w:r>
        <w:t>n mind that favourabl</w:t>
      </w:r>
      <w:r w:rsidR="003E158B">
        <w:t>e consideration will be given to member organizations</w:t>
      </w:r>
      <w:r>
        <w:t xml:space="preserve"> that outline the shortfall th</w:t>
      </w:r>
      <w:r w:rsidR="006C3E0B">
        <w:t xml:space="preserve">eir community has and how this </w:t>
      </w:r>
      <w:r>
        <w:t>proposed project will address it. On</w:t>
      </w:r>
      <w:r w:rsidR="006C3E0B">
        <w:t>ly one project will be approved</w:t>
      </w:r>
      <w:r>
        <w:t xml:space="preserve"> by </w:t>
      </w:r>
      <w:r w:rsidR="006C3E0B">
        <w:t xml:space="preserve">the </w:t>
      </w:r>
      <w:r>
        <w:t>NAJC for each Full and Supporting Member Organizati</w:t>
      </w:r>
      <w:r w:rsidR="006C3E0B">
        <w:t xml:space="preserve">on and that the proposal must be signed by the President/Chair of the </w:t>
      </w:r>
      <w:r>
        <w:t>organization</w:t>
      </w:r>
      <w:r w:rsidR="006C3E0B">
        <w:t xml:space="preserve"> making the application</w:t>
      </w:r>
      <w:r>
        <w:t>.</w:t>
      </w:r>
    </w:p>
    <w:p w14:paraId="09A10AC5" w14:textId="77777777" w:rsidR="00AB6DE3" w:rsidRDefault="00AB6DE3">
      <w:pPr>
        <w:rPr>
          <w:smallCaps/>
        </w:rPr>
      </w:pPr>
    </w:p>
    <w:p w14:paraId="0226E250" w14:textId="77777777" w:rsidR="00AB6DE3" w:rsidRDefault="00294A52">
      <w:pPr>
        <w:pStyle w:val="Heading1"/>
      </w:pPr>
      <w:r>
        <w:t>Purpose of the Community Development Fund Program</w:t>
      </w:r>
    </w:p>
    <w:p w14:paraId="28C4DA20" w14:textId="77777777" w:rsidR="00AB6DE3" w:rsidRDefault="00294A52">
      <w:pPr>
        <w:pBdr>
          <w:top w:val="single" w:sz="4" w:space="0" w:color="000000"/>
          <w:left w:val="single" w:sz="4" w:space="0" w:color="000000"/>
          <w:bottom w:val="single" w:sz="4" w:space="0" w:color="000000"/>
          <w:right w:val="single" w:sz="4" w:space="0" w:color="000000"/>
        </w:pBdr>
      </w:pPr>
      <w:r>
        <w:t>The Program aims to achieve the following:</w:t>
      </w:r>
    </w:p>
    <w:p w14:paraId="22F0C6E9" w14:textId="77777777" w:rsidR="00AB6DE3" w:rsidRDefault="00294A52">
      <w:pPr>
        <w:pBdr>
          <w:top w:val="single" w:sz="4" w:space="0" w:color="000000"/>
          <w:left w:val="single" w:sz="4" w:space="0" w:color="000000"/>
          <w:bottom w:val="single" w:sz="4" w:space="0" w:color="000000"/>
          <w:right w:val="single" w:sz="4" w:space="0" w:color="000000"/>
        </w:pBdr>
      </w:pPr>
      <w:r>
        <w:t>To address capacity building of Member and Supporting Organizations with regard to leadership and board development, fundraising, strategic planning and volunteer recruitment;</w:t>
      </w:r>
    </w:p>
    <w:p w14:paraId="0A0B957D" w14:textId="77777777" w:rsidR="00AB6DE3" w:rsidRDefault="00294A52">
      <w:pPr>
        <w:pBdr>
          <w:top w:val="single" w:sz="4" w:space="0" w:color="000000"/>
          <w:left w:val="single" w:sz="4" w:space="0" w:color="000000"/>
          <w:bottom w:val="single" w:sz="4" w:space="0" w:color="000000"/>
          <w:right w:val="single" w:sz="4" w:space="0" w:color="000000"/>
        </w:pBdr>
      </w:pPr>
      <w:r>
        <w:t>To support participants in promoting their project / initiative;</w:t>
      </w:r>
    </w:p>
    <w:p w14:paraId="7972A2C4" w14:textId="77777777" w:rsidR="00AB6DE3" w:rsidRDefault="00294A52">
      <w:pPr>
        <w:pBdr>
          <w:top w:val="single" w:sz="4" w:space="0" w:color="000000"/>
          <w:left w:val="single" w:sz="4" w:space="0" w:color="000000"/>
          <w:bottom w:val="single" w:sz="4" w:space="0" w:color="000000"/>
          <w:right w:val="single" w:sz="4" w:space="0" w:color="000000"/>
        </w:pBdr>
      </w:pPr>
      <w:r>
        <w:t>To provide financial assistance in the form of grants to eligible Program participants;</w:t>
      </w:r>
    </w:p>
    <w:p w14:paraId="3DDB288C" w14:textId="77777777" w:rsidR="00AB6DE3" w:rsidRDefault="00294A52">
      <w:pPr>
        <w:pBdr>
          <w:top w:val="single" w:sz="4" w:space="0" w:color="000000"/>
          <w:left w:val="single" w:sz="4" w:space="0" w:color="000000"/>
          <w:bottom w:val="single" w:sz="4" w:space="0" w:color="000000"/>
          <w:right w:val="single" w:sz="4" w:space="0" w:color="000000"/>
        </w:pBdr>
      </w:pPr>
      <w:r>
        <w:t>To supply participants with a reference guide and resources for future initiatives;</w:t>
      </w:r>
    </w:p>
    <w:p w14:paraId="1BAF59B4" w14:textId="77777777" w:rsidR="00AB6DE3" w:rsidRDefault="00294A52">
      <w:pPr>
        <w:pBdr>
          <w:top w:val="single" w:sz="4" w:space="0" w:color="000000"/>
          <w:left w:val="single" w:sz="4" w:space="0" w:color="000000"/>
          <w:bottom w:val="single" w:sz="4" w:space="0" w:color="000000"/>
          <w:right w:val="single" w:sz="4" w:space="0" w:color="000000"/>
        </w:pBdr>
      </w:pPr>
      <w:r>
        <w:t>To create and access CDC toolkits for Organizations in planning similar initiatives.</w:t>
      </w:r>
    </w:p>
    <w:p w14:paraId="311115E0" w14:textId="77777777" w:rsidR="00AB6DE3" w:rsidRDefault="00AB6DE3">
      <w:pPr>
        <w:rPr>
          <w:smallCaps/>
        </w:rPr>
      </w:pPr>
    </w:p>
    <w:p w14:paraId="7780F0CA" w14:textId="77777777" w:rsidR="00AB6DE3" w:rsidRDefault="00294A52">
      <w:pPr>
        <w:pStyle w:val="Heading1"/>
      </w:pPr>
      <w:r>
        <w:t>Applicant Eligibility</w:t>
      </w:r>
    </w:p>
    <w:p w14:paraId="28A25AFD" w14:textId="77777777" w:rsidR="00294A52" w:rsidRDefault="00294A52">
      <w:pPr>
        <w:pBdr>
          <w:top w:val="single" w:sz="4" w:space="0" w:color="000000"/>
          <w:left w:val="single" w:sz="4" w:space="0" w:color="000000"/>
          <w:bottom w:val="single" w:sz="4" w:space="0" w:color="000000"/>
          <w:right w:val="single" w:sz="4" w:space="0" w:color="000000"/>
        </w:pBdr>
      </w:pPr>
      <w:r>
        <w:t xml:space="preserve">To be eligible for Community Development Fund, the applicant must be an NAJC “Member Organization” or “Supporting Organization” in good standing.  </w:t>
      </w:r>
    </w:p>
    <w:p w14:paraId="77895B12" w14:textId="77777777" w:rsidR="00294A52" w:rsidRDefault="00294A52">
      <w:pPr>
        <w:pBdr>
          <w:top w:val="single" w:sz="4" w:space="0" w:color="000000"/>
          <w:left w:val="single" w:sz="4" w:space="0" w:color="000000"/>
          <w:bottom w:val="single" w:sz="4" w:space="0" w:color="000000"/>
          <w:right w:val="single" w:sz="4" w:space="0" w:color="000000"/>
        </w:pBdr>
      </w:pPr>
    </w:p>
    <w:p w14:paraId="6B77C676" w14:textId="6CF64DAC" w:rsidR="00AB6DE3" w:rsidRDefault="00294A52">
      <w:pPr>
        <w:pBdr>
          <w:top w:val="single" w:sz="4" w:space="0" w:color="000000"/>
          <w:left w:val="single" w:sz="4" w:space="0" w:color="000000"/>
          <w:bottom w:val="single" w:sz="4" w:space="0" w:color="000000"/>
          <w:right w:val="single" w:sz="4" w:space="0" w:color="000000"/>
        </w:pBdr>
        <w:rPr>
          <w:smallCaps/>
        </w:rPr>
      </w:pPr>
      <w:r>
        <w:t>If the Organization has previously participated in a program funded by the Community Developmen</w:t>
      </w:r>
      <w:r w:rsidR="0007621F">
        <w:t>t Fund all outstanding reports</w:t>
      </w:r>
      <w:r>
        <w:t xml:space="preserve"> must be submitted to the NAJC, before approval for 2015-2016 funding will be granted.</w:t>
      </w:r>
    </w:p>
    <w:p w14:paraId="6D057FB2" w14:textId="77777777" w:rsidR="00AB6DE3" w:rsidRDefault="00AB6DE3">
      <w:pPr>
        <w:pStyle w:val="Heading1"/>
      </w:pPr>
    </w:p>
    <w:p w14:paraId="0700BFFC" w14:textId="77777777" w:rsidR="00AB6DE3" w:rsidRDefault="00294A52">
      <w:pPr>
        <w:pStyle w:val="Heading1"/>
      </w:pPr>
      <w:r>
        <w:t>Program / Initiative Eligibility</w:t>
      </w:r>
    </w:p>
    <w:p w14:paraId="42D1E4D0" w14:textId="5BCDF47D" w:rsidR="00AB6DE3" w:rsidRDefault="005E62BD">
      <w:pPr>
        <w:pBdr>
          <w:top w:val="single" w:sz="4" w:space="0" w:color="000000"/>
          <w:left w:val="single" w:sz="4" w:space="0" w:color="000000"/>
          <w:bottom w:val="single" w:sz="4" w:space="0" w:color="000000"/>
          <w:right w:val="single" w:sz="4" w:space="0" w:color="000000"/>
        </w:pBdr>
      </w:pPr>
      <w:r>
        <w:t>To be eligible for Community Development Program funding, the program / initiative must focus on the local organization development that benefits its members and promotes the work of the NAJC.</w:t>
      </w:r>
    </w:p>
    <w:p w14:paraId="0943D73B" w14:textId="77777777" w:rsidR="00AB6DE3" w:rsidRDefault="00AB6DE3">
      <w:pPr>
        <w:rPr>
          <w:smallCaps/>
        </w:rPr>
      </w:pPr>
    </w:p>
    <w:p w14:paraId="0AA4B9D8" w14:textId="77777777" w:rsidR="00AB6DE3" w:rsidRDefault="00294A52">
      <w:pPr>
        <w:pStyle w:val="Heading1"/>
      </w:pPr>
      <w:r>
        <w:t>Application Forms</w:t>
      </w:r>
      <w:r>
        <w:br/>
      </w:r>
    </w:p>
    <w:p w14:paraId="6C7A4AEA" w14:textId="359E75A1" w:rsidR="00AB6DE3" w:rsidRDefault="006C3E0B">
      <w:pPr>
        <w:pStyle w:val="BodyText"/>
      </w:pPr>
      <w:r>
        <w:t>Provided that the application fulfills the eligibility requirements, the maximum grant that will</w:t>
      </w:r>
      <w:r w:rsidR="00294A52">
        <w:t xml:space="preserve"> be awarded to a F</w:t>
      </w:r>
      <w:r>
        <w:t xml:space="preserve">ull Member Organization, is $3,000, and </w:t>
      </w:r>
      <w:r w:rsidR="00294A52">
        <w:t>$1,000 for a Supporting Member Organization app</w:t>
      </w:r>
      <w:r>
        <w:t xml:space="preserve">licant.  Please note that the </w:t>
      </w:r>
      <w:r w:rsidR="00294A52">
        <w:t>maximum amount may not be</w:t>
      </w:r>
      <w:r w:rsidR="00C06D29">
        <w:t xml:space="preserve"> </w:t>
      </w:r>
      <w:r w:rsidR="005E62BD">
        <w:t>awarded;</w:t>
      </w:r>
      <w:r w:rsidR="00C06D29">
        <w:t xml:space="preserve"> </w:t>
      </w:r>
      <w:r>
        <w:t>however to aid applicants</w:t>
      </w:r>
      <w:r w:rsidR="00294A52">
        <w:t xml:space="preserve"> in planning their project a minimum of $1500 for Full and $500 for Suppo</w:t>
      </w:r>
      <w:r>
        <w:t>rting Members is assured</w:t>
      </w:r>
      <w:r w:rsidR="00294A52">
        <w:t>.  The grant is intended to be</w:t>
      </w:r>
      <w:r>
        <w:t xml:space="preserve"> supplemental funding and </w:t>
      </w:r>
      <w:r w:rsidR="00294A52">
        <w:t>it is not intended that this will be the sole funding source. 100% of the maximum fundin</w:t>
      </w:r>
      <w:r>
        <w:t>g for a project / initiative will</w:t>
      </w:r>
      <w:r w:rsidR="00294A52">
        <w:t xml:space="preserve"> not be provided.</w:t>
      </w:r>
      <w:r w:rsidR="00294A52">
        <w:br/>
      </w:r>
    </w:p>
    <w:p w14:paraId="2A98DCBC" w14:textId="77777777" w:rsidR="00AB6DE3" w:rsidRDefault="00AB6DE3">
      <w:pPr>
        <w:pStyle w:val="BodyText"/>
      </w:pPr>
    </w:p>
    <w:p w14:paraId="4558D729" w14:textId="77777777" w:rsidR="00AB6DE3" w:rsidRDefault="006C3E0B">
      <w:pPr>
        <w:pStyle w:val="BodyText"/>
      </w:pPr>
      <w:r>
        <w:t>A</w:t>
      </w:r>
      <w:r w:rsidR="00294A52">
        <w:t>pp</w:t>
      </w:r>
      <w:r>
        <w:t xml:space="preserve">lication must be completed on the form provided (or </w:t>
      </w:r>
      <w:r w:rsidR="00294A52">
        <w:t>a photocopy</w:t>
      </w:r>
      <w:r>
        <w:t>/electronic copy</w:t>
      </w:r>
      <w:r w:rsidR="00294A52">
        <w:t xml:space="preserve">) and must be </w:t>
      </w:r>
      <w:r>
        <w:t>forwarded to</w:t>
      </w:r>
      <w:r w:rsidR="00294A52">
        <w:t>:</w:t>
      </w:r>
    </w:p>
    <w:p w14:paraId="7C4328F1" w14:textId="77777777" w:rsidR="00AB6DE3" w:rsidRDefault="00AB6DE3">
      <w:pPr>
        <w:pStyle w:val="BodyText"/>
      </w:pPr>
    </w:p>
    <w:p w14:paraId="378698B7" w14:textId="77777777" w:rsidR="00AB6DE3" w:rsidRDefault="00294A52">
      <w:pPr>
        <w:pStyle w:val="BodyText"/>
        <w:jc w:val="center"/>
      </w:pPr>
      <w:r>
        <w:t>Community Development Committee</w:t>
      </w:r>
    </w:p>
    <w:p w14:paraId="419D855D" w14:textId="77777777" w:rsidR="00AB6DE3" w:rsidRDefault="00294A52">
      <w:pPr>
        <w:pStyle w:val="BodyText"/>
        <w:jc w:val="center"/>
      </w:pPr>
      <w:r>
        <w:t>NAJC National Executive Office</w:t>
      </w:r>
    </w:p>
    <w:p w14:paraId="5312154E" w14:textId="6E40DA0C" w:rsidR="00AB6DE3" w:rsidRDefault="00EE56B8">
      <w:pPr>
        <w:pStyle w:val="BodyText"/>
        <w:jc w:val="center"/>
      </w:pPr>
      <w:r>
        <w:t>180 McPhillips Street</w:t>
      </w:r>
    </w:p>
    <w:p w14:paraId="77C826FA" w14:textId="05C8C7EC" w:rsidR="00AB6DE3" w:rsidRDefault="00EE56B8">
      <w:pPr>
        <w:pStyle w:val="BodyText"/>
        <w:jc w:val="center"/>
      </w:pPr>
      <w:r>
        <w:t>Winnipeg, Manitoba, R3E 2J9</w:t>
      </w:r>
    </w:p>
    <w:p w14:paraId="6855317F" w14:textId="1259E62F" w:rsidR="00021C40" w:rsidRDefault="00021C40">
      <w:pPr>
        <w:pStyle w:val="BodyText"/>
        <w:jc w:val="center"/>
      </w:pPr>
      <w:r>
        <w:t>Tel: 204-943-2910</w:t>
      </w:r>
    </w:p>
    <w:p w14:paraId="2758BD10" w14:textId="1DE0449C" w:rsidR="00021C40" w:rsidRDefault="00021C40">
      <w:pPr>
        <w:pStyle w:val="BodyText"/>
        <w:jc w:val="center"/>
      </w:pPr>
      <w:r>
        <w:t>Email: national@najc.ca</w:t>
      </w:r>
    </w:p>
    <w:p w14:paraId="548C3643" w14:textId="77777777" w:rsidR="00AB6DE3" w:rsidRDefault="00AB6DE3">
      <w:pPr>
        <w:pStyle w:val="BodyText"/>
        <w:jc w:val="center"/>
      </w:pPr>
    </w:p>
    <w:p w14:paraId="220A827B" w14:textId="77777777" w:rsidR="00AB6DE3" w:rsidRDefault="00294A52">
      <w:pPr>
        <w:pStyle w:val="BodyText"/>
      </w:pPr>
      <w:r>
        <w:t xml:space="preserve">Deadline for applications is </w:t>
      </w:r>
      <w:r>
        <w:rPr>
          <w:b/>
          <w:bCs/>
        </w:rPr>
        <w:t>July 31, 2015</w:t>
      </w:r>
      <w:r>
        <w:t>.</w:t>
      </w:r>
    </w:p>
    <w:p w14:paraId="083C6FDF" w14:textId="77777777" w:rsidR="00AB6DE3" w:rsidRDefault="00AB6DE3">
      <w:pPr>
        <w:rPr>
          <w:smallCaps/>
        </w:rPr>
      </w:pPr>
    </w:p>
    <w:p w14:paraId="119C608F" w14:textId="77777777" w:rsidR="00AB6DE3" w:rsidRDefault="00294A52">
      <w:pPr>
        <w:pStyle w:val="Heading1"/>
      </w:pPr>
      <w:r>
        <w:t>Evaluation Process</w:t>
      </w:r>
    </w:p>
    <w:p w14:paraId="3730F74F" w14:textId="2EDD7846" w:rsidR="00AB6DE3" w:rsidRDefault="005E62BD">
      <w:pPr>
        <w:pBdr>
          <w:top w:val="single" w:sz="4" w:space="0" w:color="000000"/>
          <w:left w:val="single" w:sz="4" w:space="0" w:color="000000"/>
          <w:bottom w:val="single" w:sz="4" w:space="0" w:color="000000"/>
          <w:right w:val="single" w:sz="4" w:space="0" w:color="000000"/>
        </w:pBdr>
      </w:pPr>
      <w:r>
        <w:t>The Community Development Committee (CDC) will review all applications.</w:t>
      </w:r>
    </w:p>
    <w:p w14:paraId="6C8C75BA" w14:textId="77777777" w:rsidR="00AB6DE3" w:rsidRDefault="00294A52">
      <w:pPr>
        <w:pBdr>
          <w:top w:val="single" w:sz="4" w:space="0" w:color="000000"/>
          <w:left w:val="single" w:sz="4" w:space="0" w:color="000000"/>
          <w:bottom w:val="single" w:sz="4" w:space="0" w:color="000000"/>
          <w:right w:val="single" w:sz="4" w:space="0" w:color="000000"/>
        </w:pBdr>
      </w:pPr>
      <w:r>
        <w:t>A member of the CDC may contact a representative of an applicant to review or clarify the details of its application.  All applications must be complete and self-contained.</w:t>
      </w:r>
    </w:p>
    <w:p w14:paraId="638D4D37" w14:textId="77777777" w:rsidR="00AB6DE3" w:rsidRDefault="00AB6DE3">
      <w:pPr>
        <w:pBdr>
          <w:top w:val="single" w:sz="4" w:space="0" w:color="000000"/>
          <w:left w:val="single" w:sz="4" w:space="0" w:color="000000"/>
          <w:bottom w:val="single" w:sz="4" w:space="0" w:color="000000"/>
          <w:right w:val="single" w:sz="4" w:space="0" w:color="000000"/>
        </w:pBdr>
      </w:pPr>
    </w:p>
    <w:p w14:paraId="3ED81F81" w14:textId="77777777" w:rsidR="00AB6DE3" w:rsidRDefault="00AB6DE3">
      <w:pPr>
        <w:pStyle w:val="Heading1"/>
      </w:pPr>
    </w:p>
    <w:p w14:paraId="043D809E" w14:textId="77777777" w:rsidR="00AB6DE3" w:rsidRDefault="00294A52">
      <w:pPr>
        <w:pStyle w:val="Heading1"/>
      </w:pPr>
      <w:r>
        <w:t>Program Participant Obligations</w:t>
      </w:r>
    </w:p>
    <w:p w14:paraId="467BDE54" w14:textId="71E48F2A" w:rsidR="00AB6DE3" w:rsidRDefault="00294A52">
      <w:pPr>
        <w:pBdr>
          <w:top w:val="single" w:sz="4" w:space="0" w:color="000000"/>
          <w:left w:val="single" w:sz="4" w:space="0" w:color="000000"/>
          <w:bottom w:val="single" w:sz="4" w:space="0" w:color="000000"/>
          <w:right w:val="single" w:sz="4" w:space="0" w:color="000000"/>
        </w:pBdr>
      </w:pPr>
      <w:r>
        <w:t>Successful Program applicants are required to carry out their program / initiative as proposed.  When the project has been approved</w:t>
      </w:r>
      <w:r w:rsidR="00021C40">
        <w:t>,</w:t>
      </w:r>
      <w:r>
        <w:t xml:space="preserve"> 50% of the allocation will be given to the organization.  </w:t>
      </w:r>
    </w:p>
    <w:p w14:paraId="190D0772" w14:textId="77777777" w:rsidR="00AB6DE3" w:rsidRDefault="00294A52">
      <w:pPr>
        <w:pBdr>
          <w:top w:val="single" w:sz="4" w:space="0" w:color="000000"/>
          <w:left w:val="single" w:sz="4" w:space="0" w:color="000000"/>
          <w:bottom w:val="single" w:sz="4" w:space="0" w:color="000000"/>
          <w:right w:val="single" w:sz="4" w:space="0" w:color="000000"/>
        </w:pBdr>
      </w:pPr>
      <w:r>
        <w:t>Upon completion of the program / initiative a Summary Report must be submitted to the NAJC on the form provided by the NAJC and the remaining 50% will be issued to the organization.  These Summary Reports will then be compiled by the CDC and redistributed to Program participants to be used as a reference tool for possible future programs / initiatives.</w:t>
      </w:r>
    </w:p>
    <w:sectPr w:rsidR="00AB6DE3">
      <w:footerReference w:type="default" r:id="rId7"/>
      <w:pgSz w:w="12240" w:h="15840"/>
      <w:pgMar w:top="1008" w:right="1584" w:bottom="1008"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55481" w14:textId="77777777" w:rsidR="00BE3CE0" w:rsidRDefault="00294A52">
      <w:r>
        <w:separator/>
      </w:r>
    </w:p>
  </w:endnote>
  <w:endnote w:type="continuationSeparator" w:id="0">
    <w:p w14:paraId="62AC295D" w14:textId="77777777" w:rsidR="00BE3CE0" w:rsidRDefault="0029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A457" w14:textId="77777777" w:rsidR="00AB6DE3" w:rsidRDefault="00294A52">
    <w:pPr>
      <w:pStyle w:val="HeaderFooter"/>
      <w:jc w:val="center"/>
    </w:pPr>
    <w:r>
      <w:rPr>
        <w:lang w:val="en-US"/>
      </w:rPr>
      <w:t xml:space="preserve">Page </w:t>
    </w:r>
    <w:r>
      <w:fldChar w:fldCharType="begin"/>
    </w:r>
    <w:r>
      <w:instrText xml:space="preserve"> PAGE </w:instrText>
    </w:r>
    <w:r>
      <w:fldChar w:fldCharType="separate"/>
    </w:r>
    <w:r w:rsidR="005E62BD">
      <w:rPr>
        <w:noProof/>
      </w:rPr>
      <w:t>1</w:t>
    </w:r>
    <w:r>
      <w:fldChar w:fldCharType="end"/>
    </w:r>
    <w:r>
      <w:rPr>
        <w:lang w:val="en-US"/>
      </w:rPr>
      <w:t xml:space="preserve"> of </w:t>
    </w:r>
    <w:r>
      <w:fldChar w:fldCharType="begin"/>
    </w:r>
    <w:r>
      <w:instrText xml:space="preserve"> NUMPAGES </w:instrText>
    </w:r>
    <w:r>
      <w:fldChar w:fldCharType="separate"/>
    </w:r>
    <w:r w:rsidR="005E62BD">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78DF" w14:textId="77777777" w:rsidR="00BE3CE0" w:rsidRDefault="00294A52">
      <w:r>
        <w:separator/>
      </w:r>
    </w:p>
  </w:footnote>
  <w:footnote w:type="continuationSeparator" w:id="0">
    <w:p w14:paraId="5939AC2C" w14:textId="77777777" w:rsidR="00BE3CE0" w:rsidRDefault="00294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E3"/>
    <w:rsid w:val="00021C40"/>
    <w:rsid w:val="0007621F"/>
    <w:rsid w:val="00294A52"/>
    <w:rsid w:val="003E158B"/>
    <w:rsid w:val="005E62BD"/>
    <w:rsid w:val="006C3E0B"/>
    <w:rsid w:val="00AB6DE3"/>
    <w:rsid w:val="00BE3CE0"/>
    <w:rsid w:val="00C06D29"/>
    <w:rsid w:val="00EE56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7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1">
    <w:name w:val="heading 1"/>
    <w:next w:val="Normal"/>
    <w:pPr>
      <w:keepNext/>
      <w:outlineLvl w:val="0"/>
    </w:pPr>
    <w:rPr>
      <w:rFonts w:ascii="Times New Roman Bold" w:hAnsi="Arial Unicode MS" w:cs="Arial Unicode MS"/>
      <w:smallCap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eastAsia="Times New Roman"/>
      <w:smallCaps/>
      <w:color w:val="000000"/>
      <w:sz w:val="28"/>
      <w:szCs w:val="28"/>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TableStyle2">
    <w:name w:val="Table Style 2"/>
    <w:rPr>
      <w:rFonts w:ascii="Helvetica" w:hAnsi="Arial Unicode MS" w:cs="Arial Unicode MS"/>
      <w:color w:val="000000"/>
      <w:lang w:val="en-US"/>
    </w:rPr>
  </w:style>
  <w:style w:type="paragraph" w:styleId="BodyText">
    <w:name w:val="Body Text"/>
    <w:pPr>
      <w:pBdr>
        <w:top w:val="single" w:sz="4" w:space="0" w:color="000000"/>
        <w:left w:val="single" w:sz="4" w:space="0" w:color="000000"/>
        <w:bottom w:val="single" w:sz="4" w:space="0" w:color="000000"/>
        <w:right w:val="single" w:sz="4" w:space="0" w:color="000000"/>
      </w:pBdr>
    </w:pPr>
    <w:rPr>
      <w:rFonts w:hAnsi="Arial Unicode M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52"/>
    <w:rPr>
      <w:rFonts w:ascii="Segoe UI" w:eastAsia="Times New Roman" w:hAnsi="Segoe UI" w:cs="Segoe UI"/>
      <w:color w:val="000000"/>
      <w:sz w:val="18"/>
      <w:szCs w:val="18"/>
      <w:u w:color="00000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paragraph" w:styleId="Heading1">
    <w:name w:val="heading 1"/>
    <w:next w:val="Normal"/>
    <w:pPr>
      <w:keepNext/>
      <w:outlineLvl w:val="0"/>
    </w:pPr>
    <w:rPr>
      <w:rFonts w:ascii="Times New Roman Bold" w:hAnsi="Arial Unicode MS" w:cs="Arial Unicode MS"/>
      <w:smallCap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eastAsia="Times New Roman"/>
      <w:smallCaps/>
      <w:color w:val="000000"/>
      <w:sz w:val="28"/>
      <w:szCs w:val="28"/>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TableStyle2">
    <w:name w:val="Table Style 2"/>
    <w:rPr>
      <w:rFonts w:ascii="Helvetica" w:hAnsi="Arial Unicode MS" w:cs="Arial Unicode MS"/>
      <w:color w:val="000000"/>
      <w:lang w:val="en-US"/>
    </w:rPr>
  </w:style>
  <w:style w:type="paragraph" w:styleId="BodyText">
    <w:name w:val="Body Text"/>
    <w:pPr>
      <w:pBdr>
        <w:top w:val="single" w:sz="4" w:space="0" w:color="000000"/>
        <w:left w:val="single" w:sz="4" w:space="0" w:color="000000"/>
        <w:bottom w:val="single" w:sz="4" w:space="0" w:color="000000"/>
        <w:right w:val="single" w:sz="4" w:space="0" w:color="000000"/>
      </w:pBdr>
    </w:pPr>
    <w:rPr>
      <w:rFonts w:hAnsi="Arial Unicode M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52"/>
    <w:rPr>
      <w:rFonts w:ascii="Segoe UI" w:eastAsia="Times New Roman"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636</Words>
  <Characters>3630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Noma</cp:lastModifiedBy>
  <cp:revision>9</cp:revision>
  <dcterms:created xsi:type="dcterms:W3CDTF">2015-05-08T19:53:00Z</dcterms:created>
  <dcterms:modified xsi:type="dcterms:W3CDTF">2015-05-11T14:57:00Z</dcterms:modified>
</cp:coreProperties>
</file>